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EA0" w:rsidRPr="00EC5EA0" w:rsidRDefault="00EC5EA0" w:rsidP="00EC5EA0">
      <w:pPr>
        <w:pBdr>
          <w:bottom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Top of Form</w:t>
      </w:r>
    </w:p>
    <w:p w:rsidR="00EC5EA0" w:rsidRPr="00EC5EA0" w:rsidRDefault="00EC5EA0" w:rsidP="00EC5EA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0000FF"/>
          <w:sz w:val="24"/>
          <w:szCs w:val="24"/>
          <w:lang w:eastAsia="en-CA"/>
        </w:rPr>
        <w:drawing>
          <wp:inline distT="0" distB="0" distL="0" distR="0">
            <wp:extent cx="2438400" cy="388620"/>
            <wp:effectExtent l="19050" t="0" r="0" b="0"/>
            <wp:docPr id="1" name="Picture 1" descr="Government of Nova Scotia, Cana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of Nova Scotia, Canada">
                      <a:hlinkClick r:id="rId5"/>
                    </pic:cNvPr>
                    <pic:cNvPicPr>
                      <a:picLocks noChangeAspect="1" noChangeArrowheads="1"/>
                    </pic:cNvPicPr>
                  </pic:nvPicPr>
                  <pic:blipFill>
                    <a:blip r:embed="rId6"/>
                    <a:srcRect/>
                    <a:stretch>
                      <a:fillRect/>
                    </a:stretch>
                  </pic:blipFill>
                  <pic:spPr bwMode="auto">
                    <a:xfrm>
                      <a:off x="0" y="0"/>
                      <a:ext cx="2438400" cy="388620"/>
                    </a:xfrm>
                    <a:prstGeom prst="rect">
                      <a:avLst/>
                    </a:prstGeom>
                    <a:noFill/>
                    <a:ln w="9525">
                      <a:noFill/>
                      <a:miter lim="800000"/>
                      <a:headEnd/>
                      <a:tailEnd/>
                    </a:ln>
                  </pic:spPr>
                </pic:pic>
              </a:graphicData>
            </a:graphic>
          </wp:inline>
        </w:drawing>
      </w:r>
    </w:p>
    <w:p w:rsidR="00EC5EA0" w:rsidRPr="00EC5EA0" w:rsidRDefault="00EC5EA0" w:rsidP="00EC5EA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7620" cy="7620"/>
            <wp:effectExtent l="0" t="0" r="0" b="0"/>
            <wp:docPr id="2" name="Picture 2" descr="https://novascotia.ca/finance/statistic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ascotia.ca/finance/statistics/images/blank.gif"/>
                    <pic:cNvPicPr>
                      <a:picLocks noChangeAspect="1" noChangeArrowheads="1"/>
                    </pic:cNvPicPr>
                  </pic:nvPicPr>
                  <pic:blipFill>
                    <a:blip r:embed="rId7"/>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8" w:history="1">
        <w:r w:rsidRPr="00EC5EA0">
          <w:rPr>
            <w:rFonts w:ascii="Times New Roman" w:eastAsia="Times New Roman" w:hAnsi="Times New Roman" w:cs="Times New Roman"/>
            <w:color w:val="0000FF"/>
            <w:sz w:val="24"/>
            <w:szCs w:val="24"/>
            <w:u w:val="single"/>
            <w:lang w:eastAsia="en-CA"/>
          </w:rPr>
          <w:t>Finance and Treasury Board</w:t>
        </w:r>
      </w:hyperlink>
    </w:p>
    <w:tbl>
      <w:tblPr>
        <w:tblW w:w="0" w:type="auto"/>
        <w:tblCellSpacing w:w="15" w:type="dxa"/>
        <w:tblCellMar>
          <w:left w:w="0" w:type="dxa"/>
          <w:right w:w="0" w:type="dxa"/>
        </w:tblCellMar>
        <w:tblLook w:val="04A0"/>
      </w:tblPr>
      <w:tblGrid>
        <w:gridCol w:w="769"/>
        <w:gridCol w:w="1104"/>
        <w:gridCol w:w="36"/>
        <w:gridCol w:w="51"/>
      </w:tblGrid>
      <w:tr w:rsidR="00EC5EA0" w:rsidRPr="00EC5EA0" w:rsidTr="00EC5EA0">
        <w:trPr>
          <w:tblCellSpacing w:w="15" w:type="dxa"/>
        </w:trPr>
        <w:tc>
          <w:tcPr>
            <w:tcW w:w="2000" w:type="pct"/>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 </w:t>
            </w:r>
          </w:p>
        </w:tc>
        <w:tc>
          <w:tcPr>
            <w:tcW w:w="0" w:type="auto"/>
            <w:vAlign w:val="center"/>
            <w:hideMark/>
          </w:tcPr>
          <w:p w:rsidR="00EC5EA0" w:rsidRPr="00EC5EA0" w:rsidRDefault="00EC5EA0" w:rsidP="00EC5EA0">
            <w:pPr>
              <w:spacing w:after="0" w:line="240" w:lineRule="auto"/>
              <w:jc w:val="right"/>
              <w:rPr>
                <w:rFonts w:ascii="Times New Roman" w:eastAsia="Times New Roman" w:hAnsi="Times New Roman" w:cs="Times New Roman"/>
                <w:sz w:val="24"/>
                <w:szCs w:val="24"/>
                <w:lang w:eastAsia="en-CA"/>
              </w:rPr>
            </w:pPr>
            <w:hyperlink r:id="rId9" w:history="1">
              <w:r w:rsidRPr="00EC5EA0">
                <w:rPr>
                  <w:rFonts w:ascii="Times New Roman" w:eastAsia="Times New Roman" w:hAnsi="Times New Roman" w:cs="Times New Roman"/>
                  <w:color w:val="0000FF"/>
                  <w:sz w:val="24"/>
                  <w:szCs w:val="24"/>
                  <w:u w:val="single"/>
                  <w:lang w:eastAsia="en-CA"/>
                </w:rPr>
                <w:t>Contact Us</w:t>
              </w:r>
            </w:hyperlink>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p>
        </w:tc>
      </w:tr>
    </w:tbl>
    <w:p w:rsidR="00EC5EA0" w:rsidRPr="00EC5EA0" w:rsidRDefault="00EC5EA0" w:rsidP="00EC5EA0">
      <w:pPr>
        <w:pBdr>
          <w:top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Bottom of Form</w:t>
      </w:r>
    </w:p>
    <w:p w:rsidR="00EC5EA0" w:rsidRPr="00EC5EA0" w:rsidRDefault="00EC5EA0" w:rsidP="00EC5EA0">
      <w:pPr>
        <w:pBdr>
          <w:bottom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Top of Form</w:t>
      </w:r>
    </w:p>
    <w:tbl>
      <w:tblPr>
        <w:tblW w:w="0" w:type="auto"/>
        <w:tblCellSpacing w:w="15" w:type="dxa"/>
        <w:tblCellMar>
          <w:left w:w="0" w:type="dxa"/>
          <w:right w:w="0" w:type="dxa"/>
        </w:tblCellMar>
        <w:tblLook w:val="04A0"/>
      </w:tblPr>
      <w:tblGrid>
        <w:gridCol w:w="1697"/>
        <w:gridCol w:w="917"/>
        <w:gridCol w:w="375"/>
        <w:gridCol w:w="379"/>
        <w:gridCol w:w="1773"/>
        <w:gridCol w:w="1010"/>
        <w:gridCol w:w="1578"/>
        <w:gridCol w:w="1277"/>
        <w:gridCol w:w="605"/>
        <w:gridCol w:w="1249"/>
      </w:tblGrid>
      <w:tr w:rsidR="00EC5EA0" w:rsidRPr="00EC5EA0" w:rsidTr="00EC5EA0">
        <w:trPr>
          <w:tblCellSpacing w:w="15" w:type="dxa"/>
        </w:trPr>
        <w:tc>
          <w:tcPr>
            <w:tcW w:w="0" w:type="auto"/>
            <w:vAlign w:val="center"/>
            <w:hideMark/>
          </w:tcPr>
          <w:bookmarkStart w:id="0" w:name="navigation"/>
          <w:bookmarkEnd w:id="0"/>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fldChar w:fldCharType="begin"/>
            </w:r>
            <w:r w:rsidRPr="00EC5EA0">
              <w:rPr>
                <w:rFonts w:ascii="Times New Roman" w:eastAsia="Times New Roman" w:hAnsi="Times New Roman" w:cs="Times New Roman"/>
                <w:sz w:val="24"/>
                <w:szCs w:val="24"/>
                <w:lang w:eastAsia="en-CA"/>
              </w:rPr>
              <w:instrText xml:space="preserve"> HYPERLINK "https://novascotia.ca/finance/statistics/default.asp" </w:instrText>
            </w:r>
            <w:r w:rsidRPr="00EC5EA0">
              <w:rPr>
                <w:rFonts w:ascii="Times New Roman" w:eastAsia="Times New Roman" w:hAnsi="Times New Roman" w:cs="Times New Roman"/>
                <w:sz w:val="24"/>
                <w:szCs w:val="24"/>
                <w:lang w:eastAsia="en-CA"/>
              </w:rPr>
              <w:fldChar w:fldCharType="separate"/>
            </w:r>
            <w:r w:rsidRPr="00EC5EA0">
              <w:rPr>
                <w:rFonts w:ascii="Times New Roman" w:eastAsia="Times New Roman" w:hAnsi="Times New Roman" w:cs="Times New Roman"/>
                <w:color w:val="0000FF"/>
                <w:sz w:val="24"/>
                <w:szCs w:val="24"/>
                <w:u w:val="single"/>
                <w:lang w:eastAsia="en-CA"/>
              </w:rPr>
              <w:t>Economics and Statistics</w:t>
            </w:r>
            <w:r w:rsidRPr="00EC5EA0">
              <w:rPr>
                <w:rFonts w:ascii="Times New Roman" w:eastAsia="Times New Roman" w:hAnsi="Times New Roman" w:cs="Times New Roman"/>
                <w:sz w:val="24"/>
                <w:szCs w:val="24"/>
                <w:lang w:eastAsia="en-CA"/>
              </w:rPr>
              <w:fldChar w:fldCharType="end"/>
            </w:r>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0" w:history="1">
              <w:r w:rsidRPr="00EC5EA0">
                <w:rPr>
                  <w:rFonts w:ascii="Times New Roman" w:eastAsia="Times New Roman" w:hAnsi="Times New Roman" w:cs="Times New Roman"/>
                  <w:color w:val="0000FF"/>
                  <w:sz w:val="24"/>
                  <w:szCs w:val="24"/>
                  <w:u w:val="single"/>
                  <w:lang w:eastAsia="en-CA"/>
                </w:rPr>
                <w:t>Taxation</w:t>
              </w:r>
            </w:hyperlink>
            <w:r w:rsidRPr="00EC5EA0">
              <w:rPr>
                <w:rFonts w:ascii="Times New Roman" w:eastAsia="Times New Roman" w:hAnsi="Times New Roman" w:cs="Times New Roman"/>
                <w:sz w:val="24"/>
                <w:szCs w:val="24"/>
                <w:lang w:eastAsia="en-CA"/>
              </w:rPr>
              <w:t xml:space="preserve"> </w:t>
            </w:r>
          </w:p>
        </w:tc>
        <w:tc>
          <w:tcPr>
            <w:tcW w:w="0" w:type="auto"/>
            <w:gridSpan w:val="2"/>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1" w:history="1">
              <w:r w:rsidRPr="00EC5EA0">
                <w:rPr>
                  <w:rFonts w:ascii="Times New Roman" w:eastAsia="Times New Roman" w:hAnsi="Times New Roman" w:cs="Times New Roman"/>
                  <w:color w:val="0000FF"/>
                  <w:sz w:val="24"/>
                  <w:szCs w:val="24"/>
                  <w:u w:val="single"/>
                  <w:lang w:eastAsia="en-CA"/>
                </w:rPr>
                <w:t>Budget</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2" w:history="1">
              <w:r w:rsidRPr="00EC5EA0">
                <w:rPr>
                  <w:rFonts w:ascii="Times New Roman" w:eastAsia="Times New Roman" w:hAnsi="Times New Roman" w:cs="Times New Roman"/>
                  <w:color w:val="0000FF"/>
                  <w:sz w:val="24"/>
                  <w:szCs w:val="24"/>
                  <w:u w:val="single"/>
                  <w:lang w:eastAsia="en-CA"/>
                </w:rPr>
                <w:t>Financial Services</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3" w:history="1">
              <w:r w:rsidRPr="00EC5EA0">
                <w:rPr>
                  <w:rFonts w:ascii="Times New Roman" w:eastAsia="Times New Roman" w:hAnsi="Times New Roman" w:cs="Times New Roman"/>
                  <w:color w:val="0000FF"/>
                  <w:sz w:val="24"/>
                  <w:szCs w:val="24"/>
                  <w:u w:val="single"/>
                  <w:lang w:eastAsia="en-CA"/>
                </w:rPr>
                <w:t>Insurance</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4" w:history="1">
              <w:r w:rsidRPr="00EC5EA0">
                <w:rPr>
                  <w:rFonts w:ascii="Times New Roman" w:eastAsia="Times New Roman" w:hAnsi="Times New Roman" w:cs="Times New Roman"/>
                  <w:color w:val="0000FF"/>
                  <w:sz w:val="24"/>
                  <w:szCs w:val="24"/>
                  <w:u w:val="single"/>
                  <w:lang w:eastAsia="en-CA"/>
                </w:rPr>
                <w:t>Investor Relations</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5" w:history="1">
              <w:r w:rsidRPr="00EC5EA0">
                <w:rPr>
                  <w:rFonts w:ascii="Times New Roman" w:eastAsia="Times New Roman" w:hAnsi="Times New Roman" w:cs="Times New Roman"/>
                  <w:color w:val="0000FF"/>
                  <w:sz w:val="24"/>
                  <w:szCs w:val="24"/>
                  <w:u w:val="single"/>
                  <w:lang w:eastAsia="en-CA"/>
                </w:rPr>
                <w:t>Publications</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6" w:history="1">
              <w:r w:rsidRPr="00EC5EA0">
                <w:rPr>
                  <w:rFonts w:ascii="Times New Roman" w:eastAsia="Times New Roman" w:hAnsi="Times New Roman" w:cs="Times New Roman"/>
                  <w:color w:val="0000FF"/>
                  <w:sz w:val="24"/>
                  <w:szCs w:val="24"/>
                  <w:u w:val="single"/>
                  <w:lang w:eastAsia="en-CA"/>
                </w:rPr>
                <w:t>News</w:t>
              </w:r>
            </w:hyperlink>
            <w:r w:rsidRPr="00EC5EA0">
              <w:rPr>
                <w:rFonts w:ascii="Times New Roman" w:eastAsia="Times New Roman" w:hAnsi="Times New Roman" w:cs="Times New Roman"/>
                <w:sz w:val="24"/>
                <w:szCs w:val="24"/>
                <w:lang w:eastAsia="en-CA"/>
              </w:rPr>
              <w:t xml:space="preserve"> </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17" w:history="1">
              <w:r w:rsidRPr="00EC5EA0">
                <w:rPr>
                  <w:rFonts w:ascii="Times New Roman" w:eastAsia="Times New Roman" w:hAnsi="Times New Roman" w:cs="Times New Roman"/>
                  <w:color w:val="0000FF"/>
                  <w:sz w:val="24"/>
                  <w:szCs w:val="24"/>
                  <w:u w:val="single"/>
                  <w:lang w:eastAsia="en-CA"/>
                </w:rPr>
                <w:t>About Finance</w:t>
              </w:r>
            </w:hyperlink>
            <w:r w:rsidRPr="00EC5EA0">
              <w:rPr>
                <w:rFonts w:ascii="Times New Roman" w:eastAsia="Times New Roman" w:hAnsi="Times New Roman" w:cs="Times New Roman"/>
                <w:sz w:val="24"/>
                <w:szCs w:val="24"/>
                <w:lang w:eastAsia="en-CA"/>
              </w:rPr>
              <w:t xml:space="preserve"> </w:t>
            </w:r>
          </w:p>
        </w:tc>
      </w:tr>
      <w:tr w:rsidR="00EC5EA0" w:rsidRPr="00EC5EA0" w:rsidTr="00EC5EA0">
        <w:trPr>
          <w:tblCellSpacing w:w="15" w:type="dxa"/>
        </w:trPr>
        <w:tc>
          <w:tcPr>
            <w:tcW w:w="0" w:type="auto"/>
            <w:gridSpan w:val="3"/>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Economics and Statistics</w:t>
            </w:r>
          </w:p>
          <w:p w:rsidR="00EC5EA0" w:rsidRPr="00EC5EA0" w:rsidRDefault="00EC5EA0" w:rsidP="00EC5EA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hyperlink r:id="rId18" w:history="1">
              <w:r w:rsidRPr="00EC5EA0">
                <w:rPr>
                  <w:rFonts w:ascii="Times New Roman" w:eastAsia="Times New Roman" w:hAnsi="Times New Roman" w:cs="Times New Roman"/>
                  <w:color w:val="0000FF"/>
                  <w:sz w:val="24"/>
                  <w:szCs w:val="24"/>
                  <w:u w:val="single"/>
                  <w:lang w:eastAsia="en-CA"/>
                </w:rPr>
                <w:t>Daily Stats</w:t>
              </w:r>
            </w:hyperlink>
          </w:p>
          <w:p w:rsidR="00EC5EA0" w:rsidRPr="00EC5EA0" w:rsidRDefault="00EC5EA0" w:rsidP="00EC5EA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hyperlink r:id="rId19" w:history="1">
              <w:r w:rsidRPr="00EC5EA0">
                <w:rPr>
                  <w:rFonts w:ascii="Times New Roman" w:eastAsia="Times New Roman" w:hAnsi="Times New Roman" w:cs="Times New Roman"/>
                  <w:color w:val="0000FF"/>
                  <w:sz w:val="24"/>
                  <w:szCs w:val="24"/>
                  <w:u w:val="single"/>
                  <w:lang w:eastAsia="en-CA"/>
                </w:rPr>
                <w:t>Archived Daily Releases</w:t>
              </w:r>
            </w:hyperlink>
            <w:r w:rsidRPr="00EC5EA0">
              <w:rPr>
                <w:rFonts w:ascii="Times New Roman" w:eastAsia="Times New Roman" w:hAnsi="Times New Roman" w:cs="Times New Roman"/>
                <w:sz w:val="24"/>
                <w:szCs w:val="24"/>
                <w:lang w:eastAsia="en-CA"/>
              </w:rPr>
              <w:t xml:space="preserve"> </w:t>
            </w:r>
          </w:p>
          <w:p w:rsidR="00EC5EA0" w:rsidRPr="00EC5EA0" w:rsidRDefault="00EC5EA0" w:rsidP="00EC5EA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hyperlink r:id="rId20" w:tgtFrame="_blank" w:history="1">
              <w:r w:rsidRPr="00EC5EA0">
                <w:rPr>
                  <w:rFonts w:ascii="Times New Roman" w:eastAsia="Times New Roman" w:hAnsi="Times New Roman" w:cs="Times New Roman"/>
                  <w:color w:val="0000FF"/>
                  <w:sz w:val="24"/>
                  <w:szCs w:val="24"/>
                  <w:u w:val="single"/>
                  <w:lang w:eastAsia="en-CA"/>
                </w:rPr>
                <w:t xml:space="preserve">Subscribe to </w:t>
              </w:r>
              <w:proofErr w:type="spellStart"/>
              <w:r w:rsidRPr="00EC5EA0">
                <w:rPr>
                  <w:rFonts w:ascii="Times New Roman" w:eastAsia="Times New Roman" w:hAnsi="Times New Roman" w:cs="Times New Roman"/>
                  <w:color w:val="0000FF"/>
                  <w:sz w:val="24"/>
                  <w:szCs w:val="24"/>
                  <w:u w:val="single"/>
                  <w:lang w:eastAsia="en-CA"/>
                </w:rPr>
                <w:t>DailyStats</w:t>
              </w:r>
              <w:proofErr w:type="spellEnd"/>
            </w:hyperlink>
          </w:p>
          <w:p w:rsidR="00EC5EA0" w:rsidRPr="00EC5EA0" w:rsidRDefault="00EC5EA0" w:rsidP="00EC5EA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744980" cy="883920"/>
                  <wp:effectExtent l="19050" t="0" r="7620" b="0"/>
                  <wp:docPr id="3" name="Picture 3" descr="Header - Servic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 Service Directory"/>
                          <pic:cNvPicPr>
                            <a:picLocks noChangeAspect="1" noChangeArrowheads="1"/>
                          </pic:cNvPicPr>
                        </pic:nvPicPr>
                        <pic:blipFill>
                          <a:blip r:embed="rId21"/>
                          <a:srcRect/>
                          <a:stretch>
                            <a:fillRect/>
                          </a:stretch>
                        </pic:blipFill>
                        <pic:spPr bwMode="auto">
                          <a:xfrm>
                            <a:off x="0" y="0"/>
                            <a:ext cx="1744980" cy="883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 xml:space="preserve">Use the </w:t>
            </w:r>
            <w:hyperlink r:id="rId22" w:tgtFrame="" w:tooltip="" w:history="1">
              <w:r w:rsidRPr="00EC5EA0">
                <w:rPr>
                  <w:rFonts w:ascii="Times New Roman" w:eastAsia="Times New Roman" w:hAnsi="Times New Roman" w:cs="Times New Roman"/>
                  <w:color w:val="0000FF"/>
                  <w:sz w:val="24"/>
                  <w:szCs w:val="24"/>
                  <w:u w:val="single"/>
                  <w:lang w:eastAsia="en-CA"/>
                </w:rPr>
                <w:t>Services Directory</w:t>
              </w:r>
            </w:hyperlink>
            <w:r w:rsidRPr="00EC5EA0">
              <w:rPr>
                <w:rFonts w:ascii="Times New Roman" w:eastAsia="Times New Roman" w:hAnsi="Times New Roman" w:cs="Times New Roman"/>
                <w:sz w:val="24"/>
                <w:szCs w:val="24"/>
                <w:lang w:eastAsia="en-CA"/>
              </w:rPr>
              <w:t xml:space="preserve"> to quickly access information on all of the services provided by the NS Department of Finance.</w:t>
            </w:r>
          </w:p>
        </w:tc>
        <w:tc>
          <w:tcPr>
            <w:tcW w:w="0" w:type="auto"/>
            <w:gridSpan w:val="7"/>
            <w:vAlign w:val="center"/>
            <w:hideMark/>
          </w:tcPr>
          <w:tbl>
            <w:tblPr>
              <w:tblW w:w="5000" w:type="pct"/>
              <w:tblCellSpacing w:w="0" w:type="dxa"/>
              <w:tblCellMar>
                <w:left w:w="0" w:type="dxa"/>
                <w:right w:w="0" w:type="dxa"/>
              </w:tblCellMar>
              <w:tblLook w:val="04A0"/>
            </w:tblPr>
            <w:tblGrid>
              <w:gridCol w:w="7826"/>
            </w:tblGrid>
            <w:tr w:rsidR="00EC5EA0" w:rsidRPr="00EC5EA0">
              <w:trPr>
                <w:tblCellSpacing w:w="0" w:type="dxa"/>
              </w:trPr>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hyperlink r:id="rId23" w:history="1">
                    <w:r w:rsidRPr="00EC5EA0">
                      <w:rPr>
                        <w:rFonts w:ascii="Times New Roman" w:eastAsia="Times New Roman" w:hAnsi="Times New Roman" w:cs="Times New Roman"/>
                        <w:color w:val="0000FF"/>
                        <w:sz w:val="24"/>
                        <w:szCs w:val="24"/>
                        <w:u w:val="single"/>
                        <w:lang w:eastAsia="en-CA"/>
                      </w:rPr>
                      <w:t>Home</w:t>
                    </w:r>
                  </w:hyperlink>
                  <w:r w:rsidRPr="00EC5EA0">
                    <w:rPr>
                      <w:rFonts w:ascii="Times New Roman" w:eastAsia="Times New Roman" w:hAnsi="Times New Roman" w:cs="Times New Roman"/>
                      <w:sz w:val="24"/>
                      <w:szCs w:val="24"/>
                      <w:lang w:eastAsia="en-CA"/>
                    </w:rPr>
                    <w:t xml:space="preserve"> &gt; </w:t>
                  </w:r>
                  <w:hyperlink r:id="rId24" w:history="1">
                    <w:r w:rsidRPr="00EC5EA0">
                      <w:rPr>
                        <w:rFonts w:ascii="Times New Roman" w:eastAsia="Times New Roman" w:hAnsi="Times New Roman" w:cs="Times New Roman"/>
                        <w:color w:val="0000FF"/>
                        <w:sz w:val="24"/>
                        <w:szCs w:val="24"/>
                        <w:u w:val="single"/>
                        <w:lang w:eastAsia="en-CA"/>
                      </w:rPr>
                      <w:t>Economics and Statistics</w:t>
                    </w:r>
                  </w:hyperlink>
                  <w:r w:rsidRPr="00EC5EA0">
                    <w:rPr>
                      <w:rFonts w:ascii="Times New Roman" w:eastAsia="Times New Roman" w:hAnsi="Times New Roman" w:cs="Times New Roman"/>
                      <w:sz w:val="24"/>
                      <w:szCs w:val="24"/>
                      <w:lang w:eastAsia="en-CA"/>
                    </w:rPr>
                    <w:t xml:space="preserve"> &gt; </w:t>
                  </w:r>
                  <w:hyperlink r:id="rId25" w:history="1">
                    <w:r w:rsidRPr="00EC5EA0">
                      <w:rPr>
                        <w:rFonts w:ascii="Times New Roman" w:eastAsia="Times New Roman" w:hAnsi="Times New Roman" w:cs="Times New Roman"/>
                        <w:color w:val="0000FF"/>
                        <w:sz w:val="24"/>
                        <w:szCs w:val="24"/>
                        <w:u w:val="single"/>
                        <w:lang w:eastAsia="en-CA"/>
                      </w:rPr>
                      <w:t>Archived Daily Stats</w:t>
                    </w:r>
                  </w:hyperlink>
                  <w:r w:rsidRPr="00EC5EA0">
                    <w:rPr>
                      <w:rFonts w:ascii="Times New Roman" w:eastAsia="Times New Roman" w:hAnsi="Times New Roman" w:cs="Times New Roman"/>
                      <w:sz w:val="24"/>
                      <w:szCs w:val="24"/>
                      <w:lang w:eastAsia="en-CA"/>
                    </w:rPr>
                    <w:t xml:space="preserve"> &gt; Selected Archived Daily Stats Article </w:t>
                  </w:r>
                </w:p>
                <w:p w:rsidR="00EC5EA0" w:rsidRPr="00EC5EA0" w:rsidRDefault="00EC5EA0" w:rsidP="00EC5EA0">
                  <w:pPr>
                    <w:spacing w:after="24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color w:val="808080"/>
                      <w:sz w:val="15"/>
                      <w:szCs w:val="15"/>
                      <w:lang w:eastAsia="en-CA"/>
                    </w:rPr>
                    <w:t>The Economics and Statistics Division maintains archives of previous publications for accountability purposes, but makes no updates to keep these documents current with the latest data revisions from Statistics Canada. As a result, information in older documents may not be accurate. Please exercise caution when referring to older documents. For the latest information and historical data, please contact the individual listed to the right.</w:t>
                  </w:r>
                  <w:r w:rsidRPr="00EC5EA0">
                    <w:rPr>
                      <w:rFonts w:ascii="Times New Roman" w:eastAsia="Times New Roman" w:hAnsi="Times New Roman" w:cs="Times New Roman"/>
                      <w:sz w:val="24"/>
                      <w:szCs w:val="24"/>
                      <w:lang w:eastAsia="en-CA"/>
                    </w:rPr>
                    <w:br/>
                  </w:r>
                  <w:r w:rsidRPr="00EC5EA0">
                    <w:rPr>
                      <w:rFonts w:ascii="Times New Roman" w:eastAsia="Times New Roman" w:hAnsi="Times New Roman" w:cs="Times New Roman"/>
                      <w:sz w:val="24"/>
                      <w:szCs w:val="24"/>
                      <w:lang w:eastAsia="en-CA"/>
                    </w:rPr>
                    <w:br/>
                  </w:r>
                  <w:hyperlink r:id="rId26" w:history="1">
                    <w:r w:rsidRPr="00EC5EA0">
                      <w:rPr>
                        <w:rFonts w:ascii="Times New Roman" w:eastAsia="Times New Roman" w:hAnsi="Times New Roman" w:cs="Times New Roman"/>
                        <w:color w:val="0000FF"/>
                        <w:sz w:val="24"/>
                        <w:szCs w:val="24"/>
                        <w:u w:val="single"/>
                        <w:lang w:eastAsia="en-CA"/>
                      </w:rPr>
                      <w:t>&lt;--- Return to Archive</w:t>
                    </w:r>
                  </w:hyperlink>
                  <w:r w:rsidRPr="00EC5EA0">
                    <w:rPr>
                      <w:rFonts w:ascii="Times New Roman" w:eastAsia="Times New Roman" w:hAnsi="Times New Roman" w:cs="Times New Roman"/>
                      <w:sz w:val="24"/>
                      <w:szCs w:val="24"/>
                      <w:lang w:eastAsia="en-CA"/>
                    </w:rPr>
                    <w:br/>
                  </w:r>
                  <w:r w:rsidRPr="00EC5EA0">
                    <w:rPr>
                      <w:rFonts w:ascii="Times New Roman" w:eastAsia="Times New Roman" w:hAnsi="Times New Roman" w:cs="Times New Roman"/>
                      <w:sz w:val="24"/>
                      <w:szCs w:val="24"/>
                      <w:lang w:eastAsia="en-CA"/>
                    </w:rPr>
                    <w:br/>
                    <w:t>For additional information relating to this article, please contact:</w:t>
                  </w:r>
                </w:p>
                <w:tbl>
                  <w:tblPr>
                    <w:tblW w:w="3750" w:type="pct"/>
                    <w:tblCellSpacing w:w="0" w:type="dxa"/>
                    <w:tblCellMar>
                      <w:left w:w="0" w:type="dxa"/>
                      <w:right w:w="0" w:type="dxa"/>
                    </w:tblCellMar>
                    <w:tblLook w:val="04A0"/>
                  </w:tblPr>
                  <w:tblGrid>
                    <w:gridCol w:w="1920"/>
                    <w:gridCol w:w="3950"/>
                  </w:tblGrid>
                  <w:tr w:rsidR="00EC5EA0" w:rsidRPr="00EC5EA0" w:rsidTr="00EC5EA0">
                    <w:trPr>
                      <w:tblCellSpacing w:w="0" w:type="dxa"/>
                    </w:trPr>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b/>
                            <w:bCs/>
                            <w:sz w:val="24"/>
                            <w:szCs w:val="24"/>
                            <w:lang w:eastAsia="en-CA"/>
                          </w:rPr>
                          <w:t>Thomas Storring</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Director – Economics and Statistics</w:t>
                        </w:r>
                      </w:p>
                    </w:tc>
                  </w:tr>
                  <w:tr w:rsidR="00EC5EA0" w:rsidRPr="00EC5EA0" w:rsidTr="00EC5EA0">
                    <w:trPr>
                      <w:tblCellSpacing w:w="0" w:type="dxa"/>
                    </w:trPr>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b/>
                            <w:bCs/>
                            <w:sz w:val="24"/>
                            <w:szCs w:val="24"/>
                            <w:lang w:eastAsia="en-CA"/>
                          </w:rPr>
                          <w:t>Tel:</w:t>
                        </w:r>
                        <w:r w:rsidRPr="00EC5EA0">
                          <w:rPr>
                            <w:rFonts w:ascii="Times New Roman" w:eastAsia="Times New Roman" w:hAnsi="Times New Roman" w:cs="Times New Roman"/>
                            <w:sz w:val="24"/>
                            <w:szCs w:val="24"/>
                            <w:lang w:eastAsia="en-CA"/>
                          </w:rPr>
                          <w:t xml:space="preserve"> 902-424-2410</w:t>
                        </w:r>
                      </w:p>
                    </w:tc>
                    <w:tc>
                      <w:tcPr>
                        <w:tcW w:w="0" w:type="auto"/>
                        <w:vAlign w:val="center"/>
                        <w:hideMark/>
                      </w:tcPr>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b/>
                            <w:bCs/>
                            <w:sz w:val="24"/>
                            <w:szCs w:val="24"/>
                            <w:lang w:eastAsia="en-CA"/>
                          </w:rPr>
                          <w:t>Email:</w:t>
                        </w:r>
                        <w:r w:rsidRPr="00EC5EA0">
                          <w:rPr>
                            <w:rFonts w:ascii="Times New Roman" w:eastAsia="Times New Roman" w:hAnsi="Times New Roman" w:cs="Times New Roman"/>
                            <w:sz w:val="24"/>
                            <w:szCs w:val="24"/>
                            <w:lang w:eastAsia="en-CA"/>
                          </w:rPr>
                          <w:t xml:space="preserve"> </w:t>
                        </w:r>
                        <w:hyperlink r:id="rId27" w:history="1">
                          <w:r w:rsidRPr="00EC5EA0">
                            <w:rPr>
                              <w:rFonts w:ascii="Times New Roman" w:eastAsia="Times New Roman" w:hAnsi="Times New Roman" w:cs="Times New Roman"/>
                              <w:color w:val="0000FF"/>
                              <w:sz w:val="24"/>
                              <w:szCs w:val="24"/>
                              <w:u w:val="single"/>
                              <w:lang w:eastAsia="en-CA"/>
                            </w:rPr>
                            <w:t>thomas.storring@novascotia.ca</w:t>
                          </w:r>
                        </w:hyperlink>
                      </w:p>
                    </w:tc>
                  </w:tr>
                </w:tbl>
                <w:p w:rsidR="00EC5EA0" w:rsidRPr="00EC5EA0" w:rsidRDefault="00EC5EA0" w:rsidP="00EC5EA0">
                  <w:pPr>
                    <w:spacing w:after="24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br/>
                  </w:r>
                  <w:r w:rsidRPr="00EC5EA0">
                    <w:rPr>
                      <w:rFonts w:ascii="Times New Roman" w:eastAsia="Times New Roman" w:hAnsi="Times New Roman" w:cs="Times New Roman"/>
                      <w:b/>
                      <w:bCs/>
                      <w:sz w:val="24"/>
                      <w:szCs w:val="24"/>
                      <w:lang w:eastAsia="en-CA"/>
                    </w:rPr>
                    <w:t>June 07, 2021</w:t>
                  </w:r>
                  <w:r w:rsidRPr="00EC5EA0">
                    <w:rPr>
                      <w:rFonts w:ascii="Times New Roman" w:eastAsia="Times New Roman" w:hAnsi="Times New Roman" w:cs="Times New Roman"/>
                      <w:sz w:val="24"/>
                      <w:szCs w:val="24"/>
                      <w:lang w:eastAsia="en-CA"/>
                    </w:rPr>
                    <w:br/>
                  </w:r>
                  <w:r w:rsidRPr="00EC5EA0">
                    <w:rPr>
                      <w:rFonts w:ascii="Times New Roman" w:eastAsia="Times New Roman" w:hAnsi="Times New Roman" w:cs="Times New Roman"/>
                      <w:b/>
                      <w:bCs/>
                      <w:sz w:val="24"/>
                      <w:szCs w:val="24"/>
                      <w:lang w:eastAsia="en-CA"/>
                    </w:rPr>
                    <w:t xml:space="preserve">DEATH COUNTS AND EXCESS MORTALITY, MARCH 2021 </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The first death attributed to COVID-19 in Canada was reported in British Columbia occurring on March 8, 2020. COVID-19 has caused the death of 25,724 people in Canada.</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Statistics Canada has provided provisional information on deaths in Canada up to April 3, 2021. This includes deaths attributable to all causes; fluctuations from one week to the next may be attributable to many different causes of death. The data does not include all deaths that occurred during the reference period.  Only Prince Edward Island, Quebec, Alberta and British Columbia have reported full information up to April 3, 2021.  Information is not complete for recent weeks in:</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Newfoundland and Labrador (to March 20)</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Nova Scotia (to March 6)</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New Brunswick (to February 27)</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Ontario (to March 6)</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Manitoba (to December 5)</w:t>
                  </w:r>
                </w:p>
                <w:p w:rsidR="00EC5EA0" w:rsidRPr="00EC5EA0" w:rsidRDefault="00EC5EA0" w:rsidP="00EC5EA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Saskatchewan (to March 20)</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With limited information from several provinces, national estimates are available up to March 20.</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 xml:space="preserve">A comparison of deaths in 2020 and 2021 with the number of deaths reported in similar weeks in previous years allows highlights whether mortality is higher than usually observed at that time of year.  The number of deaths reported in each week is represented below as a ratio of deaths per 1 million residents (population as of </w:t>
                  </w:r>
                  <w:r w:rsidRPr="00EC5EA0">
                    <w:rPr>
                      <w:rFonts w:ascii="Times New Roman" w:eastAsia="Times New Roman" w:hAnsi="Times New Roman" w:cs="Times New Roman"/>
                      <w:sz w:val="24"/>
                      <w:szCs w:val="24"/>
                      <w:u w:val="single"/>
                      <w:lang w:eastAsia="en-CA"/>
                    </w:rPr>
                    <w:t>July 1</w:t>
                  </w:r>
                  <w:r w:rsidRPr="00EC5EA0">
                    <w:rPr>
                      <w:rFonts w:ascii="Times New Roman" w:eastAsia="Times New Roman" w:hAnsi="Times New Roman" w:cs="Times New Roman"/>
                      <w:sz w:val="24"/>
                      <w:szCs w:val="24"/>
                      <w:lang w:eastAsia="en-CA"/>
                    </w:rPr>
                    <w:t xml:space="preserve"> of the year - for 2021 the population as of July 1, 2020 is used).  Based on observed historical trends, Statistics Canada has also </w:t>
                  </w:r>
                  <w:r w:rsidRPr="00EC5EA0">
                    <w:rPr>
                      <w:rFonts w:ascii="Times New Roman" w:eastAsia="Times New Roman" w:hAnsi="Times New Roman" w:cs="Times New Roman"/>
                      <w:sz w:val="24"/>
                      <w:szCs w:val="24"/>
                      <w:lang w:eastAsia="en-CA"/>
                    </w:rPr>
                    <w:lastRenderedPageBreak/>
                    <w:t xml:space="preserve">estimated the </w:t>
                  </w:r>
                  <w:r w:rsidRPr="00EC5EA0">
                    <w:rPr>
                      <w:rFonts w:ascii="Times New Roman" w:eastAsia="Times New Roman" w:hAnsi="Times New Roman" w:cs="Times New Roman"/>
                      <w:i/>
                      <w:iCs/>
                      <w:sz w:val="24"/>
                      <w:szCs w:val="24"/>
                      <w:lang w:eastAsia="en-CA"/>
                    </w:rPr>
                    <w:t>expected</w:t>
                  </w:r>
                  <w:r w:rsidRPr="00EC5EA0">
                    <w:rPr>
                      <w:rFonts w:ascii="Times New Roman" w:eastAsia="Times New Roman" w:hAnsi="Times New Roman" w:cs="Times New Roman"/>
                      <w:sz w:val="24"/>
                      <w:szCs w:val="24"/>
                      <w:lang w:eastAsia="en-CA"/>
                    </w:rPr>
                    <w:t> number of deaths for each week and compared this with observed deaths (adjusted where possible reflecting provisional data).  Estimates of expected deaths are presented with a 95 per cent confidence interval.  </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There was a period of excess mortality in April and early May, concentrated in Quebec, Ontario, Alberta and British Columbia.  There were also elevated deaths in Nova Scotia in the week ending April 25; Statistics Canada notes that deaths due to COVID-19 were reported in that week, but the total was affected by lives lost in the mass shooting on April 18-19. From May to July, the levels of deaths in all provinces fell.  </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In the most current data, excess deaths were apparent in central and western provinces during the fall of 2020.  However excess mortality has been abating in the winter months (January-March) among those provinces that had previously reported elevated numbers of deaths.  In the most recent data, deaths per 1M residents were slightly elevated above pre-pandemic levels in Prince Edward Island, Alberta and British Columbia.  There was no significant excess mortality estimated in any provinces reporting in February, March and April.  Only Manitoba (whose data is only available up to December 5) reported significant excess mortality in its most recent results.</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804160"/>
                        <wp:effectExtent l="19050" t="0" r="0" b="0"/>
                        <wp:docPr id="4" name="Picture 4" descr="https://novascotia.ca/finance/statistics/media/20210607-deat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ascotia.ca/finance/statistics/media/20210607-deaths1.jpg"/>
                                <pic:cNvPicPr>
                                  <a:picLocks noChangeAspect="1" noChangeArrowheads="1"/>
                                </pic:cNvPicPr>
                              </pic:nvPicPr>
                              <pic:blipFill>
                                <a:blip r:embed="rId28"/>
                                <a:srcRect/>
                                <a:stretch>
                                  <a:fillRect/>
                                </a:stretch>
                              </pic:blipFill>
                              <pic:spPr bwMode="auto">
                                <a:xfrm>
                                  <a:off x="0" y="0"/>
                                  <a:ext cx="4617720" cy="28041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78680" cy="2788920"/>
                        <wp:effectExtent l="19050" t="0" r="7620" b="0"/>
                        <wp:docPr id="5" name="Picture 5" descr="https://novascotia.ca/finance/statistics/media/20210607-deat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ascotia.ca/finance/statistics/media/20210607-deaths2.jpg"/>
                                <pic:cNvPicPr>
                                  <a:picLocks noChangeAspect="1" noChangeArrowheads="1"/>
                                </pic:cNvPicPr>
                              </pic:nvPicPr>
                              <pic:blipFill>
                                <a:blip r:embed="rId29"/>
                                <a:srcRect/>
                                <a:stretch>
                                  <a:fillRect/>
                                </a:stretch>
                              </pic:blipFill>
                              <pic:spPr bwMode="auto">
                                <a:xfrm>
                                  <a:off x="0" y="0"/>
                                  <a:ext cx="467868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1300"/>
                        <wp:effectExtent l="19050" t="0" r="0" b="0"/>
                        <wp:docPr id="6" name="Picture 6" descr="https://novascotia.ca/finance/statistics/media/20210607-death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ascotia.ca/finance/statistics/media/20210607-deaths3.jpg"/>
                                <pic:cNvPicPr>
                                  <a:picLocks noChangeAspect="1" noChangeArrowheads="1"/>
                                </pic:cNvPicPr>
                              </pic:nvPicPr>
                              <pic:blipFill>
                                <a:blip r:embed="rId30"/>
                                <a:srcRect/>
                                <a:stretch>
                                  <a:fillRect/>
                                </a:stretch>
                              </pic:blipFill>
                              <pic:spPr bwMode="auto">
                                <a:xfrm>
                                  <a:off x="0" y="0"/>
                                  <a:ext cx="4617720" cy="278130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8920"/>
                        <wp:effectExtent l="19050" t="0" r="0" b="0"/>
                        <wp:docPr id="7" name="Picture 7" descr="https://novascotia.ca/finance/statistics/media/20210607-death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ascotia.ca/finance/statistics/media/20210607-deaths4.jpg"/>
                                <pic:cNvPicPr>
                                  <a:picLocks noChangeAspect="1" noChangeArrowheads="1"/>
                                </pic:cNvPicPr>
                              </pic:nvPicPr>
                              <pic:blipFill>
                                <a:blip r:embed="rId31"/>
                                <a:srcRect/>
                                <a:stretch>
                                  <a:fillRect/>
                                </a:stretch>
                              </pic:blipFill>
                              <pic:spPr bwMode="auto">
                                <a:xfrm>
                                  <a:off x="0" y="0"/>
                                  <a:ext cx="461772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17720" cy="2788920"/>
                        <wp:effectExtent l="19050" t="0" r="0" b="0"/>
                        <wp:docPr id="8" name="Picture 8" descr="https://novascotia.ca/finance/statistics/media/20210607-death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ascotia.ca/finance/statistics/media/20210607-deaths5.jpg"/>
                                <pic:cNvPicPr>
                                  <a:picLocks noChangeAspect="1" noChangeArrowheads="1"/>
                                </pic:cNvPicPr>
                              </pic:nvPicPr>
                              <pic:blipFill>
                                <a:blip r:embed="rId32"/>
                                <a:srcRect/>
                                <a:stretch>
                                  <a:fillRect/>
                                </a:stretch>
                              </pic:blipFill>
                              <pic:spPr bwMode="auto">
                                <a:xfrm>
                                  <a:off x="0" y="0"/>
                                  <a:ext cx="461772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8920"/>
                        <wp:effectExtent l="19050" t="0" r="0" b="0"/>
                        <wp:docPr id="9" name="Picture 9" descr="https://novascotia.ca/finance/statistics/media/20210607-death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ascotia.ca/finance/statistics/media/20210607-deaths6.jpg"/>
                                <pic:cNvPicPr>
                                  <a:picLocks noChangeAspect="1" noChangeArrowheads="1"/>
                                </pic:cNvPicPr>
                              </pic:nvPicPr>
                              <pic:blipFill>
                                <a:blip r:embed="rId33"/>
                                <a:srcRect/>
                                <a:stretch>
                                  <a:fillRect/>
                                </a:stretch>
                              </pic:blipFill>
                              <pic:spPr bwMode="auto">
                                <a:xfrm>
                                  <a:off x="0" y="0"/>
                                  <a:ext cx="461772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02480" cy="2766060"/>
                        <wp:effectExtent l="19050" t="0" r="7620" b="0"/>
                        <wp:docPr id="10" name="Picture 10" descr="https://novascotia.ca/finance/statistics/media/20210607-death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ascotia.ca/finance/statistics/media/20210607-deaths7.jpg"/>
                                <pic:cNvPicPr>
                                  <a:picLocks noChangeAspect="1" noChangeArrowheads="1"/>
                                </pic:cNvPicPr>
                              </pic:nvPicPr>
                              <pic:blipFill>
                                <a:blip r:embed="rId34"/>
                                <a:srcRect/>
                                <a:stretch>
                                  <a:fillRect/>
                                </a:stretch>
                              </pic:blipFill>
                              <pic:spPr bwMode="auto">
                                <a:xfrm>
                                  <a:off x="0" y="0"/>
                                  <a:ext cx="4602480" cy="27660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17720" cy="2781300"/>
                        <wp:effectExtent l="19050" t="0" r="0" b="0"/>
                        <wp:docPr id="11" name="Picture 11" descr="https://novascotia.ca/finance/statistics/media/20210607-death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ascotia.ca/finance/statistics/media/20210607-deaths8.jpg"/>
                                <pic:cNvPicPr>
                                  <a:picLocks noChangeAspect="1" noChangeArrowheads="1"/>
                                </pic:cNvPicPr>
                              </pic:nvPicPr>
                              <pic:blipFill>
                                <a:blip r:embed="rId35"/>
                                <a:srcRect/>
                                <a:stretch>
                                  <a:fillRect/>
                                </a:stretch>
                              </pic:blipFill>
                              <pic:spPr bwMode="auto">
                                <a:xfrm>
                                  <a:off x="0" y="0"/>
                                  <a:ext cx="4617720" cy="278130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0100" cy="2773680"/>
                        <wp:effectExtent l="19050" t="0" r="0" b="0"/>
                        <wp:docPr id="12" name="Picture 12" descr="https://novascotia.ca/finance/statistics/media/20210607-death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ascotia.ca/finance/statistics/media/20210607-deaths9.jpg"/>
                                <pic:cNvPicPr>
                                  <a:picLocks noChangeAspect="1" noChangeArrowheads="1"/>
                                </pic:cNvPicPr>
                              </pic:nvPicPr>
                              <pic:blipFill>
                                <a:blip r:embed="rId36"/>
                                <a:srcRect/>
                                <a:stretch>
                                  <a:fillRect/>
                                </a:stretch>
                              </pic:blipFill>
                              <pic:spPr bwMode="auto">
                                <a:xfrm>
                                  <a:off x="0" y="0"/>
                                  <a:ext cx="4610100" cy="277368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1300"/>
                        <wp:effectExtent l="19050" t="0" r="0" b="0"/>
                        <wp:docPr id="13" name="Picture 13" descr="https://novascotia.ca/finance/statistics/media/20210607-death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ascotia.ca/finance/statistics/media/20210607-deaths10.jpg"/>
                                <pic:cNvPicPr>
                                  <a:picLocks noChangeAspect="1" noChangeArrowheads="1"/>
                                </pic:cNvPicPr>
                              </pic:nvPicPr>
                              <pic:blipFill>
                                <a:blip r:embed="rId37"/>
                                <a:srcRect/>
                                <a:stretch>
                                  <a:fillRect/>
                                </a:stretch>
                              </pic:blipFill>
                              <pic:spPr bwMode="auto">
                                <a:xfrm>
                                  <a:off x="0" y="0"/>
                                  <a:ext cx="4617720" cy="278130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02480" cy="2788920"/>
                        <wp:effectExtent l="19050" t="0" r="7620" b="0"/>
                        <wp:docPr id="14" name="Picture 14" descr="https://novascotia.ca/finance/statistics/media/20210607-death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ascotia.ca/finance/statistics/media/20210607-deaths11.jpg"/>
                                <pic:cNvPicPr>
                                  <a:picLocks noChangeAspect="1" noChangeArrowheads="1"/>
                                </pic:cNvPicPr>
                              </pic:nvPicPr>
                              <pic:blipFill>
                                <a:blip r:embed="rId38"/>
                                <a:srcRect/>
                                <a:stretch>
                                  <a:fillRect/>
                                </a:stretch>
                              </pic:blipFill>
                              <pic:spPr bwMode="auto">
                                <a:xfrm>
                                  <a:off x="0" y="0"/>
                                  <a:ext cx="460248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32960" cy="2804160"/>
                        <wp:effectExtent l="19050" t="0" r="0" b="0"/>
                        <wp:docPr id="15" name="Picture 15" descr="https://novascotia.ca/finance/statistics/media/20210607-death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ascotia.ca/finance/statistics/media/20210607-deaths12.jpg"/>
                                <pic:cNvPicPr>
                                  <a:picLocks noChangeAspect="1" noChangeArrowheads="1"/>
                                </pic:cNvPicPr>
                              </pic:nvPicPr>
                              <pic:blipFill>
                                <a:blip r:embed="rId39"/>
                                <a:srcRect/>
                                <a:stretch>
                                  <a:fillRect/>
                                </a:stretch>
                              </pic:blipFill>
                              <pic:spPr bwMode="auto">
                                <a:xfrm>
                                  <a:off x="0" y="0"/>
                                  <a:ext cx="4632960" cy="28041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32960" cy="2804160"/>
                        <wp:effectExtent l="19050" t="0" r="0" b="0"/>
                        <wp:docPr id="16" name="Picture 16" descr="https://novascotia.ca/finance/statistics/media/20210607-death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scotia.ca/finance/statistics/media/20210607-deaths13.jpg"/>
                                <pic:cNvPicPr>
                                  <a:picLocks noChangeAspect="1" noChangeArrowheads="1"/>
                                </pic:cNvPicPr>
                              </pic:nvPicPr>
                              <pic:blipFill>
                                <a:blip r:embed="rId40"/>
                                <a:srcRect/>
                                <a:stretch>
                                  <a:fillRect/>
                                </a:stretch>
                              </pic:blipFill>
                              <pic:spPr bwMode="auto">
                                <a:xfrm>
                                  <a:off x="0" y="0"/>
                                  <a:ext cx="4632960" cy="28041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32960" cy="2804160"/>
                        <wp:effectExtent l="19050" t="0" r="0" b="0"/>
                        <wp:docPr id="17" name="Picture 17" descr="https://novascotia.ca/finance/statistics/media/20210607-death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ascotia.ca/finance/statistics/media/20210607-deaths14.jpg"/>
                                <pic:cNvPicPr>
                                  <a:picLocks noChangeAspect="1" noChangeArrowheads="1"/>
                                </pic:cNvPicPr>
                              </pic:nvPicPr>
                              <pic:blipFill>
                                <a:blip r:embed="rId41"/>
                                <a:srcRect/>
                                <a:stretch>
                                  <a:fillRect/>
                                </a:stretch>
                              </pic:blipFill>
                              <pic:spPr bwMode="auto">
                                <a:xfrm>
                                  <a:off x="0" y="0"/>
                                  <a:ext cx="4632960" cy="28041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8920"/>
                        <wp:effectExtent l="19050" t="0" r="0" b="0"/>
                        <wp:docPr id="18" name="Picture 18" descr="https://novascotia.ca/finance/statistics/media/20210607-death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ascotia.ca/finance/statistics/media/20210607-deaths15.jpg"/>
                                <pic:cNvPicPr>
                                  <a:picLocks noChangeAspect="1" noChangeArrowheads="1"/>
                                </pic:cNvPicPr>
                              </pic:nvPicPr>
                              <pic:blipFill>
                                <a:blip r:embed="rId42"/>
                                <a:srcRect/>
                                <a:stretch>
                                  <a:fillRect/>
                                </a:stretch>
                              </pic:blipFill>
                              <pic:spPr bwMode="auto">
                                <a:xfrm>
                                  <a:off x="0" y="0"/>
                                  <a:ext cx="461772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7720" cy="2788920"/>
                        <wp:effectExtent l="19050" t="0" r="0" b="0"/>
                        <wp:docPr id="19" name="Picture 19" descr="https://novascotia.ca/finance/statistics/media/20210607-deat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ascotia.ca/finance/statistics/media/20210607-deaths16.jpg"/>
                                <pic:cNvPicPr>
                                  <a:picLocks noChangeAspect="1" noChangeArrowheads="1"/>
                                </pic:cNvPicPr>
                              </pic:nvPicPr>
                              <pic:blipFill>
                                <a:blip r:embed="rId43"/>
                                <a:srcRect/>
                                <a:stretch>
                                  <a:fillRect/>
                                </a:stretch>
                              </pic:blipFill>
                              <pic:spPr bwMode="auto">
                                <a:xfrm>
                                  <a:off x="0" y="0"/>
                                  <a:ext cx="461772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32960" cy="2819400"/>
                        <wp:effectExtent l="19050" t="0" r="0" b="0"/>
                        <wp:docPr id="20" name="Picture 20" descr="https://novascotia.ca/finance/statistics/media/20210607-death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ascotia.ca/finance/statistics/media/20210607-deaths17.jpg"/>
                                <pic:cNvPicPr>
                                  <a:picLocks noChangeAspect="1" noChangeArrowheads="1"/>
                                </pic:cNvPicPr>
                              </pic:nvPicPr>
                              <pic:blipFill>
                                <a:blip r:embed="rId44"/>
                                <a:srcRect/>
                                <a:stretch>
                                  <a:fillRect/>
                                </a:stretch>
                              </pic:blipFill>
                              <pic:spPr bwMode="auto">
                                <a:xfrm>
                                  <a:off x="0" y="0"/>
                                  <a:ext cx="4632960" cy="281940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10100" cy="2788920"/>
                        <wp:effectExtent l="19050" t="0" r="0" b="0"/>
                        <wp:docPr id="21" name="Picture 21" descr="https://novascotia.ca/finance/statistics/media/20210607-death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ascotia.ca/finance/statistics/media/20210607-deaths18.jpg"/>
                                <pic:cNvPicPr>
                                  <a:picLocks noChangeAspect="1" noChangeArrowheads="1"/>
                                </pic:cNvPicPr>
                              </pic:nvPicPr>
                              <pic:blipFill>
                                <a:blip r:embed="rId45"/>
                                <a:srcRect/>
                                <a:stretch>
                                  <a:fillRect/>
                                </a:stretch>
                              </pic:blipFill>
                              <pic:spPr bwMode="auto">
                                <a:xfrm>
                                  <a:off x="0" y="0"/>
                                  <a:ext cx="461010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32960" cy="2788920"/>
                        <wp:effectExtent l="19050" t="0" r="0" b="0"/>
                        <wp:docPr id="22" name="Picture 22" descr="https://novascotia.ca/finance/statistics/media/20210607-death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ascotia.ca/finance/statistics/media/20210607-deaths19.jpg"/>
                                <pic:cNvPicPr>
                                  <a:picLocks noChangeAspect="1" noChangeArrowheads="1"/>
                                </pic:cNvPicPr>
                              </pic:nvPicPr>
                              <pic:blipFill>
                                <a:blip r:embed="rId46"/>
                                <a:srcRect/>
                                <a:stretch>
                                  <a:fillRect/>
                                </a:stretch>
                              </pic:blipFill>
                              <pic:spPr bwMode="auto">
                                <a:xfrm>
                                  <a:off x="0" y="0"/>
                                  <a:ext cx="463296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4602480" cy="2773680"/>
                        <wp:effectExtent l="19050" t="0" r="7620" b="0"/>
                        <wp:docPr id="23" name="Picture 23" descr="https://novascotia.ca/finance/statistics/media/20210607-death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ascotia.ca/finance/statistics/media/20210607-deaths20.jpg"/>
                                <pic:cNvPicPr>
                                  <a:picLocks noChangeAspect="1" noChangeArrowheads="1"/>
                                </pic:cNvPicPr>
                              </pic:nvPicPr>
                              <pic:blipFill>
                                <a:blip r:embed="rId47"/>
                                <a:srcRect/>
                                <a:stretch>
                                  <a:fillRect/>
                                </a:stretch>
                              </pic:blipFill>
                              <pic:spPr bwMode="auto">
                                <a:xfrm>
                                  <a:off x="0" y="0"/>
                                  <a:ext cx="4602480" cy="277368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40580" cy="2804160"/>
                        <wp:effectExtent l="19050" t="0" r="7620" b="0"/>
                        <wp:docPr id="24" name="Picture 24" descr="https://novascotia.ca/finance/statistics/media/20210607-death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ascotia.ca/finance/statistics/media/20210607-deaths21.jpg"/>
                                <pic:cNvPicPr>
                                  <a:picLocks noChangeAspect="1" noChangeArrowheads="1"/>
                                </pic:cNvPicPr>
                              </pic:nvPicPr>
                              <pic:blipFill>
                                <a:blip r:embed="rId48"/>
                                <a:srcRect/>
                                <a:stretch>
                                  <a:fillRect/>
                                </a:stretch>
                              </pic:blipFill>
                              <pic:spPr bwMode="auto">
                                <a:xfrm>
                                  <a:off x="0" y="0"/>
                                  <a:ext cx="4640580" cy="280416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40580" cy="2788920"/>
                        <wp:effectExtent l="19050" t="0" r="7620" b="0"/>
                        <wp:docPr id="25" name="Picture 25" descr="https://novascotia.ca/finance/statistics/media/20210607-death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ascotia.ca/finance/statistics/media/20210607-deaths22.jpg"/>
                                <pic:cNvPicPr>
                                  <a:picLocks noChangeAspect="1" noChangeArrowheads="1"/>
                                </pic:cNvPicPr>
                              </pic:nvPicPr>
                              <pic:blipFill>
                                <a:blip r:embed="rId49"/>
                                <a:srcRect/>
                                <a:stretch>
                                  <a:fillRect/>
                                </a:stretch>
                              </pic:blipFill>
                              <pic:spPr bwMode="auto">
                                <a:xfrm>
                                  <a:off x="0" y="0"/>
                                  <a:ext cx="4640580" cy="2788920"/>
                                </a:xfrm>
                                <a:prstGeom prst="rect">
                                  <a:avLst/>
                                </a:prstGeom>
                                <a:noFill/>
                                <a:ln w="9525">
                                  <a:noFill/>
                                  <a:miter lim="800000"/>
                                  <a:headEnd/>
                                  <a:tailEnd/>
                                </a:ln>
                              </pic:spPr>
                            </pic:pic>
                          </a:graphicData>
                        </a:graphic>
                      </wp:inline>
                    </w:drawing>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Source: Statistics Canada.  </w:t>
                  </w:r>
                  <w:hyperlink r:id="rId50" w:history="1">
                    <w:r w:rsidRPr="00EC5EA0">
                      <w:rPr>
                        <w:rFonts w:ascii="Times New Roman" w:eastAsia="Times New Roman" w:hAnsi="Times New Roman" w:cs="Times New Roman"/>
                        <w:color w:val="0000FF"/>
                        <w:sz w:val="24"/>
                        <w:szCs w:val="24"/>
                        <w:u w:val="single"/>
                        <w:lang w:eastAsia="en-CA"/>
                      </w:rPr>
                      <w:t xml:space="preserve">Table  13-10-0768-01   Weekly death counts, by age </w:t>
                    </w:r>
                    <w:r w:rsidRPr="00EC5EA0">
                      <w:rPr>
                        <w:rFonts w:ascii="Times New Roman" w:eastAsia="Times New Roman" w:hAnsi="Times New Roman" w:cs="Times New Roman"/>
                        <w:color w:val="0000FF"/>
                        <w:sz w:val="24"/>
                        <w:szCs w:val="24"/>
                        <w:u w:val="single"/>
                        <w:lang w:eastAsia="en-CA"/>
                      </w:rPr>
                      <w:lastRenderedPageBreak/>
                      <w:t>group and sex</w:t>
                    </w:r>
                  </w:hyperlink>
                  <w:r w:rsidRPr="00EC5EA0">
                    <w:rPr>
                      <w:rFonts w:ascii="Times New Roman" w:eastAsia="Times New Roman" w:hAnsi="Times New Roman" w:cs="Times New Roman"/>
                      <w:sz w:val="24"/>
                      <w:szCs w:val="24"/>
                      <w:lang w:eastAsia="en-CA"/>
                    </w:rPr>
                    <w:t>; </w:t>
                  </w:r>
                  <w:hyperlink r:id="rId51" w:history="1">
                    <w:r w:rsidRPr="00EC5EA0">
                      <w:rPr>
                        <w:rFonts w:ascii="Times New Roman" w:eastAsia="Times New Roman" w:hAnsi="Times New Roman" w:cs="Times New Roman"/>
                        <w:color w:val="0000FF"/>
                        <w:sz w:val="24"/>
                        <w:szCs w:val="24"/>
                        <w:u w:val="single"/>
                        <w:lang w:eastAsia="en-CA"/>
                      </w:rPr>
                      <w:t>Table 13-10-0784-01 Adjusted number of deaths, expected number of deaths and estimates of excess mortality, by week</w:t>
                    </w:r>
                  </w:hyperlink>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 </w:t>
                  </w:r>
                </w:p>
                <w:p w:rsidR="00EC5EA0" w:rsidRPr="00EC5EA0" w:rsidRDefault="00EC5EA0" w:rsidP="00EC5EA0">
                  <w:pPr>
                    <w:spacing w:before="100" w:beforeAutospacing="1" w:after="100" w:afterAutospacing="1"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 </w:t>
                  </w:r>
                </w:p>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br/>
                  </w:r>
                  <w:r w:rsidRPr="00EC5EA0">
                    <w:rPr>
                      <w:rFonts w:ascii="Times New Roman" w:eastAsia="Times New Roman" w:hAnsi="Times New Roman" w:cs="Times New Roman"/>
                      <w:sz w:val="24"/>
                      <w:szCs w:val="24"/>
                      <w:lang w:eastAsia="en-CA"/>
                    </w:rPr>
                    <w:br/>
                  </w:r>
                  <w:hyperlink r:id="rId52" w:history="1">
                    <w:r w:rsidRPr="00EC5EA0">
                      <w:rPr>
                        <w:rFonts w:ascii="Times New Roman" w:eastAsia="Times New Roman" w:hAnsi="Times New Roman" w:cs="Times New Roman"/>
                        <w:color w:val="0000FF"/>
                        <w:sz w:val="24"/>
                        <w:szCs w:val="24"/>
                        <w:u w:val="single"/>
                        <w:lang w:eastAsia="en-CA"/>
                      </w:rPr>
                      <w:t>&lt;--- Return to Archive</w:t>
                    </w:r>
                  </w:hyperlink>
                  <w:r w:rsidRPr="00EC5EA0">
                    <w:rPr>
                      <w:rFonts w:ascii="Times New Roman" w:eastAsia="Times New Roman" w:hAnsi="Times New Roman" w:cs="Times New Roman"/>
                      <w:sz w:val="24"/>
                      <w:szCs w:val="24"/>
                      <w:lang w:eastAsia="en-CA"/>
                    </w:rPr>
                    <w:t xml:space="preserve"> </w:t>
                  </w:r>
                </w:p>
              </w:tc>
            </w:tr>
          </w:tbl>
          <w:p w:rsidR="00EC5EA0" w:rsidRPr="00EC5EA0" w:rsidRDefault="00EC5EA0" w:rsidP="00EC5EA0">
            <w:pPr>
              <w:spacing w:after="0" w:line="240" w:lineRule="auto"/>
              <w:rPr>
                <w:rFonts w:ascii="Times New Roman" w:eastAsia="Times New Roman" w:hAnsi="Times New Roman" w:cs="Times New Roman"/>
                <w:sz w:val="24"/>
                <w:szCs w:val="24"/>
                <w:lang w:eastAsia="en-CA"/>
              </w:rPr>
            </w:pPr>
          </w:p>
        </w:tc>
      </w:tr>
    </w:tbl>
    <w:p w:rsidR="00EC5EA0" w:rsidRPr="00EC5EA0" w:rsidRDefault="00EC5EA0" w:rsidP="00EC5EA0">
      <w:pPr>
        <w:spacing w:after="0" w:line="240" w:lineRule="auto"/>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pt;height:.6pt"/>
        </w:pict>
      </w:r>
    </w:p>
    <w:p w:rsidR="00EC5EA0" w:rsidRPr="00EC5EA0" w:rsidRDefault="00EC5EA0" w:rsidP="00EC5EA0">
      <w:pPr>
        <w:spacing w:before="100" w:beforeAutospacing="1" w:after="100" w:afterAutospacing="1" w:line="240" w:lineRule="auto"/>
        <w:jc w:val="center"/>
        <w:rPr>
          <w:rFonts w:ascii="Times New Roman" w:eastAsia="Times New Roman" w:hAnsi="Times New Roman" w:cs="Times New Roman"/>
          <w:sz w:val="24"/>
          <w:szCs w:val="24"/>
          <w:lang w:eastAsia="en-CA"/>
        </w:rPr>
      </w:pPr>
      <w:hyperlink r:id="rId53" w:tgtFrame="_blank" w:history="1">
        <w:r w:rsidRPr="00EC5EA0">
          <w:rPr>
            <w:rFonts w:ascii="Times New Roman" w:eastAsia="Times New Roman" w:hAnsi="Times New Roman" w:cs="Times New Roman"/>
            <w:color w:val="0000FF"/>
            <w:sz w:val="24"/>
            <w:szCs w:val="24"/>
            <w:u w:val="single"/>
            <w:lang w:eastAsia="en-CA"/>
          </w:rPr>
          <w:t>Privacy</w:t>
        </w:r>
      </w:hyperlink>
      <w:r w:rsidRPr="00EC5EA0">
        <w:rPr>
          <w:rFonts w:ascii="Times New Roman" w:eastAsia="Times New Roman" w:hAnsi="Times New Roman" w:cs="Times New Roman"/>
          <w:sz w:val="24"/>
          <w:szCs w:val="24"/>
          <w:lang w:eastAsia="en-CA"/>
        </w:rPr>
        <w:t xml:space="preserve"> | </w:t>
      </w:r>
      <w:hyperlink r:id="rId54" w:tgtFrame="" w:tooltip="" w:history="1">
        <w:r w:rsidRPr="00EC5EA0">
          <w:rPr>
            <w:rFonts w:ascii="Times New Roman" w:eastAsia="Times New Roman" w:hAnsi="Times New Roman" w:cs="Times New Roman"/>
            <w:color w:val="0000FF"/>
            <w:sz w:val="24"/>
            <w:szCs w:val="24"/>
            <w:u w:val="single"/>
            <w:lang w:eastAsia="en-CA"/>
          </w:rPr>
          <w:t>Routine Access Policy</w:t>
        </w:r>
      </w:hyperlink>
    </w:p>
    <w:p w:rsidR="00EC5EA0" w:rsidRPr="00EC5EA0" w:rsidRDefault="00EC5EA0" w:rsidP="00EC5EA0">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EC5EA0">
        <w:rPr>
          <w:rFonts w:ascii="Times New Roman" w:eastAsia="Times New Roman" w:hAnsi="Times New Roman" w:cs="Times New Roman"/>
          <w:sz w:val="24"/>
          <w:szCs w:val="24"/>
          <w:lang w:eastAsia="en-CA"/>
        </w:rPr>
        <w:t>Crown copyright © Province of Nova Scotia</w:t>
      </w:r>
    </w:p>
    <w:p w:rsidR="00EC5EA0" w:rsidRPr="00EC5EA0" w:rsidRDefault="00EC5EA0" w:rsidP="00EC5EA0">
      <w:pPr>
        <w:pBdr>
          <w:top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Bottom of Form</w:t>
      </w:r>
    </w:p>
    <w:p w:rsidR="00EC5EA0" w:rsidRPr="00EC5EA0" w:rsidRDefault="00EC5EA0" w:rsidP="00EC5EA0">
      <w:pPr>
        <w:pBdr>
          <w:bottom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Top of Form</w:t>
      </w:r>
    </w:p>
    <w:p w:rsidR="00EC5EA0" w:rsidRPr="00EC5EA0" w:rsidRDefault="00EC5EA0" w:rsidP="00EC5EA0">
      <w:pPr>
        <w:pBdr>
          <w:top w:val="single" w:sz="6" w:space="1" w:color="auto"/>
        </w:pBdr>
        <w:spacing w:after="0" w:line="240" w:lineRule="auto"/>
        <w:jc w:val="center"/>
        <w:rPr>
          <w:rFonts w:ascii="Arial" w:eastAsia="Times New Roman" w:hAnsi="Arial" w:cs="Arial"/>
          <w:vanish/>
          <w:sz w:val="16"/>
          <w:szCs w:val="16"/>
          <w:lang w:eastAsia="en-CA"/>
        </w:rPr>
      </w:pPr>
      <w:r w:rsidRPr="00EC5EA0">
        <w:rPr>
          <w:rFonts w:ascii="Arial" w:eastAsia="Times New Roman" w:hAnsi="Arial" w:cs="Arial"/>
          <w:vanish/>
          <w:sz w:val="16"/>
          <w:szCs w:val="16"/>
          <w:lang w:eastAsia="en-CA"/>
        </w:rPr>
        <w:t>Bottom of Form</w:t>
      </w:r>
    </w:p>
    <w:p w:rsidR="00C12C05" w:rsidRDefault="00C12C05"/>
    <w:sectPr w:rsidR="00C12C05" w:rsidSect="00EC5EA0">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5C2B"/>
    <w:multiLevelType w:val="multilevel"/>
    <w:tmpl w:val="4FC4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263D4A"/>
    <w:multiLevelType w:val="multilevel"/>
    <w:tmpl w:val="71F8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C5EA0"/>
    <w:rsid w:val="00421C8B"/>
    <w:rsid w:val="00A7307E"/>
    <w:rsid w:val="00C12C05"/>
    <w:rsid w:val="00EC5EA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C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EC5EA0"/>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C5EA0"/>
    <w:rPr>
      <w:rFonts w:ascii="Arial" w:eastAsia="Times New Roman" w:hAnsi="Arial" w:cs="Arial"/>
      <w:vanish/>
      <w:sz w:val="16"/>
      <w:szCs w:val="16"/>
      <w:lang w:eastAsia="en-CA"/>
    </w:rPr>
  </w:style>
  <w:style w:type="character" w:styleId="Hyperlink">
    <w:name w:val="Hyperlink"/>
    <w:basedOn w:val="DefaultParagraphFont"/>
    <w:uiPriority w:val="99"/>
    <w:semiHidden/>
    <w:unhideWhenUsed/>
    <w:rsid w:val="00EC5EA0"/>
    <w:rPr>
      <w:color w:val="0000FF"/>
      <w:u w:val="single"/>
    </w:rPr>
  </w:style>
  <w:style w:type="paragraph" w:styleId="z-BottomofForm">
    <w:name w:val="HTML Bottom of Form"/>
    <w:basedOn w:val="Normal"/>
    <w:next w:val="Normal"/>
    <w:link w:val="z-BottomofFormChar"/>
    <w:hidden/>
    <w:uiPriority w:val="99"/>
    <w:semiHidden/>
    <w:unhideWhenUsed/>
    <w:rsid w:val="00EC5EA0"/>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C5EA0"/>
    <w:rPr>
      <w:rFonts w:ascii="Arial" w:eastAsia="Times New Roman" w:hAnsi="Arial" w:cs="Arial"/>
      <w:vanish/>
      <w:sz w:val="16"/>
      <w:szCs w:val="16"/>
      <w:lang w:eastAsia="en-CA"/>
    </w:rPr>
  </w:style>
  <w:style w:type="paragraph" w:styleId="NormalWeb">
    <w:name w:val="Normal (Web)"/>
    <w:basedOn w:val="Normal"/>
    <w:uiPriority w:val="99"/>
    <w:unhideWhenUsed/>
    <w:rsid w:val="00EC5EA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C5EA0"/>
    <w:rPr>
      <w:i/>
      <w:iCs/>
    </w:rPr>
  </w:style>
  <w:style w:type="paragraph" w:styleId="BalloonText">
    <w:name w:val="Balloon Text"/>
    <w:basedOn w:val="Normal"/>
    <w:link w:val="BalloonTextChar"/>
    <w:uiPriority w:val="99"/>
    <w:semiHidden/>
    <w:unhideWhenUsed/>
    <w:rsid w:val="00EC5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E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7841952">
      <w:bodyDiv w:val="1"/>
      <w:marLeft w:val="0"/>
      <w:marRight w:val="0"/>
      <w:marTop w:val="0"/>
      <w:marBottom w:val="0"/>
      <w:divBdr>
        <w:top w:val="none" w:sz="0" w:space="0" w:color="auto"/>
        <w:left w:val="none" w:sz="0" w:space="0" w:color="auto"/>
        <w:bottom w:val="none" w:sz="0" w:space="0" w:color="auto"/>
        <w:right w:val="none" w:sz="0" w:space="0" w:color="auto"/>
      </w:divBdr>
      <w:divsChild>
        <w:div w:id="1289361207">
          <w:marLeft w:val="0"/>
          <w:marRight w:val="0"/>
          <w:marTop w:val="0"/>
          <w:marBottom w:val="0"/>
          <w:divBdr>
            <w:top w:val="none" w:sz="0" w:space="0" w:color="auto"/>
            <w:left w:val="none" w:sz="0" w:space="0" w:color="auto"/>
            <w:bottom w:val="none" w:sz="0" w:space="0" w:color="auto"/>
            <w:right w:val="none" w:sz="0" w:space="0" w:color="auto"/>
          </w:divBdr>
          <w:divsChild>
            <w:div w:id="890770381">
              <w:marLeft w:val="0"/>
              <w:marRight w:val="0"/>
              <w:marTop w:val="0"/>
              <w:marBottom w:val="0"/>
              <w:divBdr>
                <w:top w:val="none" w:sz="0" w:space="0" w:color="auto"/>
                <w:left w:val="none" w:sz="0" w:space="0" w:color="auto"/>
                <w:bottom w:val="none" w:sz="0" w:space="0" w:color="auto"/>
                <w:right w:val="none" w:sz="0" w:space="0" w:color="auto"/>
              </w:divBdr>
            </w:div>
            <w:div w:id="996226439">
              <w:marLeft w:val="0"/>
              <w:marRight w:val="0"/>
              <w:marTop w:val="0"/>
              <w:marBottom w:val="0"/>
              <w:divBdr>
                <w:top w:val="none" w:sz="0" w:space="0" w:color="auto"/>
                <w:left w:val="none" w:sz="0" w:space="0" w:color="auto"/>
                <w:bottom w:val="none" w:sz="0" w:space="0" w:color="auto"/>
                <w:right w:val="none" w:sz="0" w:space="0" w:color="auto"/>
              </w:divBdr>
            </w:div>
            <w:div w:id="885606337">
              <w:marLeft w:val="0"/>
              <w:marRight w:val="0"/>
              <w:marTop w:val="0"/>
              <w:marBottom w:val="0"/>
              <w:divBdr>
                <w:top w:val="none" w:sz="0" w:space="0" w:color="auto"/>
                <w:left w:val="none" w:sz="0" w:space="0" w:color="auto"/>
                <w:bottom w:val="none" w:sz="0" w:space="0" w:color="auto"/>
                <w:right w:val="none" w:sz="0" w:space="0" w:color="auto"/>
              </w:divBdr>
              <w:divsChild>
                <w:div w:id="277688339">
                  <w:marLeft w:val="0"/>
                  <w:marRight w:val="0"/>
                  <w:marTop w:val="0"/>
                  <w:marBottom w:val="0"/>
                  <w:divBdr>
                    <w:top w:val="none" w:sz="0" w:space="0" w:color="auto"/>
                    <w:left w:val="none" w:sz="0" w:space="0" w:color="auto"/>
                    <w:bottom w:val="none" w:sz="0" w:space="0" w:color="auto"/>
                    <w:right w:val="none" w:sz="0" w:space="0" w:color="auto"/>
                  </w:divBdr>
                </w:div>
                <w:div w:id="13836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6047">
          <w:marLeft w:val="0"/>
          <w:marRight w:val="0"/>
          <w:marTop w:val="0"/>
          <w:marBottom w:val="0"/>
          <w:divBdr>
            <w:top w:val="none" w:sz="0" w:space="0" w:color="auto"/>
            <w:left w:val="none" w:sz="0" w:space="0" w:color="auto"/>
            <w:bottom w:val="none" w:sz="0" w:space="0" w:color="auto"/>
            <w:right w:val="none" w:sz="0" w:space="0" w:color="auto"/>
          </w:divBdr>
          <w:divsChild>
            <w:div w:id="889804522">
              <w:marLeft w:val="0"/>
              <w:marRight w:val="0"/>
              <w:marTop w:val="0"/>
              <w:marBottom w:val="0"/>
              <w:divBdr>
                <w:top w:val="none" w:sz="0" w:space="0" w:color="auto"/>
                <w:left w:val="none" w:sz="0" w:space="0" w:color="auto"/>
                <w:bottom w:val="none" w:sz="0" w:space="0" w:color="auto"/>
                <w:right w:val="none" w:sz="0" w:space="0" w:color="auto"/>
              </w:divBdr>
              <w:divsChild>
                <w:div w:id="443962505">
                  <w:marLeft w:val="0"/>
                  <w:marRight w:val="0"/>
                  <w:marTop w:val="0"/>
                  <w:marBottom w:val="0"/>
                  <w:divBdr>
                    <w:top w:val="none" w:sz="0" w:space="0" w:color="auto"/>
                    <w:left w:val="none" w:sz="0" w:space="0" w:color="auto"/>
                    <w:bottom w:val="none" w:sz="0" w:space="0" w:color="auto"/>
                    <w:right w:val="none" w:sz="0" w:space="0" w:color="auto"/>
                  </w:divBdr>
                </w:div>
              </w:divsChild>
            </w:div>
            <w:div w:id="1052194037">
              <w:marLeft w:val="0"/>
              <w:marRight w:val="0"/>
              <w:marTop w:val="0"/>
              <w:marBottom w:val="0"/>
              <w:divBdr>
                <w:top w:val="none" w:sz="0" w:space="0" w:color="auto"/>
                <w:left w:val="none" w:sz="0" w:space="0" w:color="auto"/>
                <w:bottom w:val="none" w:sz="0" w:space="0" w:color="auto"/>
                <w:right w:val="none" w:sz="0" w:space="0" w:color="auto"/>
              </w:divBdr>
              <w:divsChild>
                <w:div w:id="2071802199">
                  <w:marLeft w:val="0"/>
                  <w:marRight w:val="0"/>
                  <w:marTop w:val="0"/>
                  <w:marBottom w:val="0"/>
                  <w:divBdr>
                    <w:top w:val="none" w:sz="0" w:space="0" w:color="auto"/>
                    <w:left w:val="none" w:sz="0" w:space="0" w:color="auto"/>
                    <w:bottom w:val="none" w:sz="0" w:space="0" w:color="auto"/>
                    <w:right w:val="none" w:sz="0" w:space="0" w:color="auto"/>
                  </w:divBdr>
                </w:div>
                <w:div w:id="647710510">
                  <w:marLeft w:val="0"/>
                  <w:marRight w:val="0"/>
                  <w:marTop w:val="0"/>
                  <w:marBottom w:val="0"/>
                  <w:divBdr>
                    <w:top w:val="none" w:sz="0" w:space="0" w:color="auto"/>
                    <w:left w:val="none" w:sz="0" w:space="0" w:color="auto"/>
                    <w:bottom w:val="none" w:sz="0" w:space="0" w:color="auto"/>
                    <w:right w:val="none" w:sz="0" w:space="0" w:color="auto"/>
                  </w:divBdr>
                </w:div>
              </w:divsChild>
            </w:div>
            <w:div w:id="551694534">
              <w:marLeft w:val="0"/>
              <w:marRight w:val="0"/>
              <w:marTop w:val="0"/>
              <w:marBottom w:val="0"/>
              <w:divBdr>
                <w:top w:val="none" w:sz="0" w:space="0" w:color="auto"/>
                <w:left w:val="none" w:sz="0" w:space="0" w:color="auto"/>
                <w:bottom w:val="none" w:sz="0" w:space="0" w:color="auto"/>
                <w:right w:val="none" w:sz="0" w:space="0" w:color="auto"/>
              </w:divBdr>
              <w:divsChild>
                <w:div w:id="300890143">
                  <w:marLeft w:val="0"/>
                  <w:marRight w:val="0"/>
                  <w:marTop w:val="0"/>
                  <w:marBottom w:val="0"/>
                  <w:divBdr>
                    <w:top w:val="none" w:sz="0" w:space="0" w:color="auto"/>
                    <w:left w:val="none" w:sz="0" w:space="0" w:color="auto"/>
                    <w:bottom w:val="none" w:sz="0" w:space="0" w:color="auto"/>
                    <w:right w:val="none" w:sz="0" w:space="0" w:color="auto"/>
                  </w:divBdr>
                  <w:divsChild>
                    <w:div w:id="703287762">
                      <w:marLeft w:val="0"/>
                      <w:marRight w:val="0"/>
                      <w:marTop w:val="0"/>
                      <w:marBottom w:val="0"/>
                      <w:divBdr>
                        <w:top w:val="none" w:sz="0" w:space="0" w:color="auto"/>
                        <w:left w:val="none" w:sz="0" w:space="0" w:color="auto"/>
                        <w:bottom w:val="none" w:sz="0" w:space="0" w:color="auto"/>
                        <w:right w:val="none" w:sz="0" w:space="0" w:color="auto"/>
                      </w:divBdr>
                    </w:div>
                    <w:div w:id="197140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809">
              <w:marLeft w:val="0"/>
              <w:marRight w:val="0"/>
              <w:marTop w:val="0"/>
              <w:marBottom w:val="0"/>
              <w:divBdr>
                <w:top w:val="none" w:sz="0" w:space="0" w:color="auto"/>
                <w:left w:val="none" w:sz="0" w:space="0" w:color="auto"/>
                <w:bottom w:val="none" w:sz="0" w:space="0" w:color="auto"/>
                <w:right w:val="none" w:sz="0" w:space="0" w:color="auto"/>
              </w:divBdr>
              <w:divsChild>
                <w:div w:id="579024360">
                  <w:marLeft w:val="0"/>
                  <w:marRight w:val="0"/>
                  <w:marTop w:val="0"/>
                  <w:marBottom w:val="0"/>
                  <w:divBdr>
                    <w:top w:val="none" w:sz="0" w:space="0" w:color="auto"/>
                    <w:left w:val="none" w:sz="0" w:space="0" w:color="auto"/>
                    <w:bottom w:val="none" w:sz="0" w:space="0" w:color="auto"/>
                    <w:right w:val="none" w:sz="0" w:space="0" w:color="auto"/>
                  </w:divBdr>
                </w:div>
              </w:divsChild>
            </w:div>
            <w:div w:id="1655141666">
              <w:marLeft w:val="0"/>
              <w:marRight w:val="0"/>
              <w:marTop w:val="0"/>
              <w:marBottom w:val="0"/>
              <w:divBdr>
                <w:top w:val="none" w:sz="0" w:space="0" w:color="auto"/>
                <w:left w:val="none" w:sz="0" w:space="0" w:color="auto"/>
                <w:bottom w:val="none" w:sz="0" w:space="0" w:color="auto"/>
                <w:right w:val="none" w:sz="0" w:space="0" w:color="auto"/>
              </w:divBdr>
              <w:divsChild>
                <w:div w:id="1684436329">
                  <w:marLeft w:val="0"/>
                  <w:marRight w:val="0"/>
                  <w:marTop w:val="0"/>
                  <w:marBottom w:val="0"/>
                  <w:divBdr>
                    <w:top w:val="none" w:sz="0" w:space="0" w:color="auto"/>
                    <w:left w:val="none" w:sz="0" w:space="0" w:color="auto"/>
                    <w:bottom w:val="none" w:sz="0" w:space="0" w:color="auto"/>
                    <w:right w:val="none" w:sz="0" w:space="0" w:color="auto"/>
                  </w:divBdr>
                </w:div>
              </w:divsChild>
            </w:div>
            <w:div w:id="1687445063">
              <w:marLeft w:val="0"/>
              <w:marRight w:val="0"/>
              <w:marTop w:val="0"/>
              <w:marBottom w:val="0"/>
              <w:divBdr>
                <w:top w:val="none" w:sz="0" w:space="0" w:color="auto"/>
                <w:left w:val="none" w:sz="0" w:space="0" w:color="auto"/>
                <w:bottom w:val="none" w:sz="0" w:space="0" w:color="auto"/>
                <w:right w:val="none" w:sz="0" w:space="0" w:color="auto"/>
              </w:divBdr>
              <w:divsChild>
                <w:div w:id="714500480">
                  <w:marLeft w:val="0"/>
                  <w:marRight w:val="0"/>
                  <w:marTop w:val="0"/>
                  <w:marBottom w:val="0"/>
                  <w:divBdr>
                    <w:top w:val="none" w:sz="0" w:space="0" w:color="auto"/>
                    <w:left w:val="none" w:sz="0" w:space="0" w:color="auto"/>
                    <w:bottom w:val="none" w:sz="0" w:space="0" w:color="auto"/>
                    <w:right w:val="none" w:sz="0" w:space="0" w:color="auto"/>
                  </w:divBdr>
                </w:div>
                <w:div w:id="1708410071">
                  <w:marLeft w:val="0"/>
                  <w:marRight w:val="0"/>
                  <w:marTop w:val="0"/>
                  <w:marBottom w:val="0"/>
                  <w:divBdr>
                    <w:top w:val="none" w:sz="0" w:space="0" w:color="auto"/>
                    <w:left w:val="none" w:sz="0" w:space="0" w:color="auto"/>
                    <w:bottom w:val="none" w:sz="0" w:space="0" w:color="auto"/>
                    <w:right w:val="none" w:sz="0" w:space="0" w:color="auto"/>
                  </w:divBdr>
                  <w:divsChild>
                    <w:div w:id="61564371">
                      <w:marLeft w:val="0"/>
                      <w:marRight w:val="0"/>
                      <w:marTop w:val="0"/>
                      <w:marBottom w:val="0"/>
                      <w:divBdr>
                        <w:top w:val="none" w:sz="0" w:space="0" w:color="auto"/>
                        <w:left w:val="none" w:sz="0" w:space="0" w:color="auto"/>
                        <w:bottom w:val="none" w:sz="0" w:space="0" w:color="auto"/>
                        <w:right w:val="none" w:sz="0" w:space="0" w:color="auto"/>
                      </w:divBdr>
                    </w:div>
                  </w:divsChild>
                </w:div>
                <w:div w:id="981425328">
                  <w:marLeft w:val="0"/>
                  <w:marRight w:val="0"/>
                  <w:marTop w:val="0"/>
                  <w:marBottom w:val="0"/>
                  <w:divBdr>
                    <w:top w:val="none" w:sz="0" w:space="0" w:color="auto"/>
                    <w:left w:val="none" w:sz="0" w:space="0" w:color="auto"/>
                    <w:bottom w:val="none" w:sz="0" w:space="0" w:color="auto"/>
                    <w:right w:val="none" w:sz="0" w:space="0" w:color="auto"/>
                  </w:divBdr>
                  <w:divsChild>
                    <w:div w:id="88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ovascotia.ca/finance/en/home/insurance/default.aspx" TargetMode="External"/><Relationship Id="rId18" Type="http://schemas.openxmlformats.org/officeDocument/2006/relationships/hyperlink" Target="https://novascotia.ca/finance/statistics/default.asp" TargetMode="External"/><Relationship Id="rId26" Type="http://schemas.openxmlformats.org/officeDocument/2006/relationships/hyperlink" Target="https://novascotia.ca/finance/statistics/archive.asp?dg=&amp;df=&amp;dto=0&amp;dti=3" TargetMode="External"/><Relationship Id="rId39" Type="http://schemas.openxmlformats.org/officeDocument/2006/relationships/image" Target="media/image15.jpeg"/><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s://www150.statcan.gc.ca/t1/tbl1/en/tv.action?pid=1310076801" TargetMode="External"/><Relationship Id="rId55"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hyperlink" Target="https://novascotia.ca/finance/en/home/financialservices/default.aspx" TargetMode="External"/><Relationship Id="rId17" Type="http://schemas.openxmlformats.org/officeDocument/2006/relationships/hyperlink" Target="https://novascotia.ca/finance/en/home/aboutfinance/default.aspx" TargetMode="External"/><Relationship Id="rId25" Type="http://schemas.openxmlformats.org/officeDocument/2006/relationships/hyperlink" Target="https://novascotia.ca/finance/statistics/archive.asp?y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novascotia.ca/finance/en/home/news/default.aspx" TargetMode="External"/><Relationship Id="rId20" Type="http://schemas.openxmlformats.org/officeDocument/2006/relationships/hyperlink" Target="http://lists.gov.ns.ca/read/all_forums/subscribe?name=dailystats"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hyperlink" Target="https://novascotia.ca/finance/en/home/routineaccesspolicy.asp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ovascotia.ca/finance/en/home/budget/default.aspx" TargetMode="External"/><Relationship Id="rId24" Type="http://schemas.openxmlformats.org/officeDocument/2006/relationships/hyperlink" Target="https://novascotia.ca/finance/statistics/default.asp"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s://novascotia.ca/govt/privacy/" TargetMode="External"/><Relationship Id="rId5" Type="http://schemas.openxmlformats.org/officeDocument/2006/relationships/hyperlink" Target="https://novascotia.ca/" TargetMode="External"/><Relationship Id="rId15" Type="http://schemas.openxmlformats.org/officeDocument/2006/relationships/hyperlink" Target="https://novascotia.ca/finance/en/home/publications/default.aspx" TargetMode="External"/><Relationship Id="rId23" Type="http://schemas.openxmlformats.org/officeDocument/2006/relationships/hyperlink" Target="https://novascotia.ca/finance/en/home/default.aspx"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hyperlink" Target="https://novascotia.ca/finance/en/home/taxation/default.aspx" TargetMode="External"/><Relationship Id="rId19" Type="http://schemas.openxmlformats.org/officeDocument/2006/relationships/hyperlink" Target="https://novascotia.ca/finance/statistics/archive.asp?ym=3"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yperlink" Target="https://novascotia.ca/finance/statistics/archive.asp?dg=&amp;df=&amp;dto=0&amp;dti=3" TargetMode="External"/><Relationship Id="rId4" Type="http://schemas.openxmlformats.org/officeDocument/2006/relationships/webSettings" Target="webSettings.xml"/><Relationship Id="rId9" Type="http://schemas.openxmlformats.org/officeDocument/2006/relationships/hyperlink" Target="https://novascotia.ca/finance/en/home/aboutfinance/contactus.aspx" TargetMode="External"/><Relationship Id="rId14" Type="http://schemas.openxmlformats.org/officeDocument/2006/relationships/hyperlink" Target="https://novascotia.ca/finance/en/home/investorrelations/default.aspx" TargetMode="External"/><Relationship Id="rId22" Type="http://schemas.openxmlformats.org/officeDocument/2006/relationships/hyperlink" Target="https://novascotia.ca/finance/en/home/aboutfinance/servicesdirectory/default.aspx" TargetMode="External"/><Relationship Id="rId27" Type="http://schemas.openxmlformats.org/officeDocument/2006/relationships/hyperlink" Target="mailto:thomas.storring@novascotia.ca"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hyperlink" Target="https://novascotia.ca/finance/en/" TargetMode="External"/><Relationship Id="rId51" Type="http://schemas.openxmlformats.org/officeDocument/2006/relationships/hyperlink" Target="https://www150.statcan.gc.ca/t1/tbl1/en/tv.action?pid=131007840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2021-12-21T17:53:00Z</dcterms:created>
  <dcterms:modified xsi:type="dcterms:W3CDTF">2021-12-21T18:49:00Z</dcterms:modified>
</cp:coreProperties>
</file>